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Y="1"/>
        <w:tblOverlap w:val="never"/>
        <w:tblW w:w="12079" w:type="dxa"/>
        <w:shd w:val="clear" w:color="auto" w:fill="EDEDED" w:themeFill="accent3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57"/>
        <w:gridCol w:w="3005"/>
        <w:gridCol w:w="967"/>
      </w:tblGrid>
      <w:tr w:rsidR="000C1B69" w:rsidRPr="002F2679" w14:paraId="6B4A1DC2" w14:textId="77777777" w:rsidTr="00A417EA">
        <w:trPr>
          <w:trHeight w:val="737"/>
        </w:trPr>
        <w:tc>
          <w:tcPr>
            <w:tcW w:w="850" w:type="dxa"/>
            <w:shd w:val="clear" w:color="auto" w:fill="D0C7C4"/>
          </w:tcPr>
          <w:p w14:paraId="0ADE5C65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0F8B3BF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</w:tcPr>
          <w:p w14:paraId="6B87A806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</w:tcPr>
          <w:p w14:paraId="4E45EAB6" w14:textId="77777777" w:rsidR="000C1B69" w:rsidRPr="002F2679" w:rsidRDefault="000C1B69" w:rsidP="000A6499">
            <w:pPr>
              <w:rPr>
                <w:caps/>
              </w:rPr>
            </w:pPr>
          </w:p>
        </w:tc>
      </w:tr>
      <w:tr w:rsidR="000C1B69" w:rsidRPr="002F2679" w14:paraId="645E439F" w14:textId="77777777" w:rsidTr="00A417EA">
        <w:trPr>
          <w:trHeight w:val="2608"/>
        </w:trPr>
        <w:tc>
          <w:tcPr>
            <w:tcW w:w="850" w:type="dxa"/>
            <w:shd w:val="clear" w:color="auto" w:fill="D0C7C4"/>
          </w:tcPr>
          <w:p w14:paraId="15648CEC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4D7EED82" w14:textId="77777777" w:rsidR="000C1B69" w:rsidRDefault="000C1B69" w:rsidP="000A6499">
            <w:pPr>
              <w:pStyle w:val="ICANormal"/>
              <w:rPr>
                <w:b/>
                <w:caps/>
                <w:sz w:val="24"/>
              </w:rPr>
            </w:pPr>
            <w:r w:rsidRPr="002F2679">
              <w:rPr>
                <w:b/>
                <w:caps/>
                <w:sz w:val="24"/>
              </w:rPr>
              <w:t>ICAEW</w:t>
            </w:r>
            <w:r>
              <w:rPr>
                <w:b/>
                <w:caps/>
                <w:sz w:val="24"/>
              </w:rPr>
              <w:t xml:space="preserve"> </w:t>
            </w:r>
          </w:p>
          <w:p w14:paraId="196A81C6" w14:textId="77777777" w:rsidR="000C1B69" w:rsidRPr="004B45F7" w:rsidRDefault="000C1B69" w:rsidP="004B45F7">
            <w:pPr>
              <w:pStyle w:val="ICANormal"/>
              <w:rPr>
                <w:bCs/>
                <w:caps/>
                <w:sz w:val="24"/>
              </w:rPr>
            </w:pPr>
            <w:r w:rsidRPr="00DA63F1">
              <w:rPr>
                <w:bCs/>
                <w:caps/>
                <w:sz w:val="24"/>
              </w:rPr>
              <w:t>Technical Advisory service</w:t>
            </w:r>
          </w:p>
          <w:p w14:paraId="260151D6" w14:textId="77777777" w:rsidR="000C1B69" w:rsidRPr="002F2679" w:rsidRDefault="000C1B69" w:rsidP="000A6499">
            <w:pPr>
              <w:pStyle w:val="ICANormal"/>
              <w:spacing w:before="60"/>
              <w:rPr>
                <w:caps/>
                <w:sz w:val="24"/>
              </w:rPr>
            </w:pPr>
          </w:p>
        </w:tc>
        <w:tc>
          <w:tcPr>
            <w:tcW w:w="3005" w:type="dxa"/>
            <w:shd w:val="clear" w:color="auto" w:fill="D0C7C4"/>
          </w:tcPr>
          <w:p w14:paraId="1BAD4E78" w14:textId="77777777" w:rsidR="000C1B69" w:rsidRPr="00DD107D" w:rsidRDefault="000C1B69" w:rsidP="000A6499">
            <w:pPr>
              <w:pStyle w:val="ICANormal"/>
              <w:jc w:val="right"/>
              <w:rPr>
                <w:sz w:val="16"/>
                <w:szCs w:val="16"/>
              </w:rPr>
            </w:pPr>
            <w:r w:rsidRPr="00DD107D">
              <w:rPr>
                <w:noProof/>
                <w:lang w:eastAsia="zh-TW"/>
              </w:rPr>
              <w:drawing>
                <wp:inline distT="0" distB="0" distL="0" distR="0" wp14:anchorId="4DB8DC84" wp14:editId="47F082DA">
                  <wp:extent cx="718820" cy="1151890"/>
                  <wp:effectExtent l="0" t="0" r="0" b="0"/>
                  <wp:docPr id="2" name="Picture 2" descr="../ICAEW_Logo_Kit%20part%201/Logo/ICAEW_Main_logo/Main%20logo%20screen/ICAEW_logo_BLK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ICAEW_Logo_Kit%20part%201/Logo/ICAEW_Main_logo/Main%20logo%20screen/ICAEW_logo_BLK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3" t="16851" r="22138" b="17215"/>
                          <a:stretch/>
                        </pic:blipFill>
                        <pic:spPr bwMode="auto">
                          <a:xfrm>
                            <a:off x="0" y="0"/>
                            <a:ext cx="71882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D0C7C4"/>
          </w:tcPr>
          <w:p w14:paraId="62A80F42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169D036D" w14:textId="77777777" w:rsidTr="00A417EA">
        <w:trPr>
          <w:trHeight w:val="414"/>
        </w:trPr>
        <w:tc>
          <w:tcPr>
            <w:tcW w:w="850" w:type="dxa"/>
            <w:shd w:val="clear" w:color="auto" w:fill="D0C7C4"/>
            <w:vAlign w:val="bottom"/>
          </w:tcPr>
          <w:p w14:paraId="0F55132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4DCC0087" w14:textId="77777777" w:rsidR="00EC66CA" w:rsidRPr="00044BF7" w:rsidRDefault="00EC66CA" w:rsidP="009D0EDB">
            <w:pPr>
              <w:pStyle w:val="ICANormal"/>
              <w:rPr>
                <w:b/>
                <w:caps/>
                <w:sz w:val="32"/>
                <w:szCs w:val="32"/>
              </w:rPr>
            </w:pPr>
            <w:bookmarkStart w:id="0" w:name="Title"/>
            <w:bookmarkEnd w:id="0"/>
            <w:r>
              <w:rPr>
                <w:b/>
                <w:bCs/>
                <w:caps/>
                <w:sz w:val="24"/>
              </w:rPr>
              <w:t>subcontracting Accountancy services</w:t>
            </w:r>
            <w:r w:rsidR="009D0EDB">
              <w:rPr>
                <w:b/>
                <w:bCs/>
                <w:caps/>
                <w:sz w:val="24"/>
              </w:rPr>
              <w:t xml:space="preserve"> - aPPENDICES</w:t>
            </w:r>
          </w:p>
        </w:tc>
        <w:tc>
          <w:tcPr>
            <w:tcW w:w="3005" w:type="dxa"/>
            <w:shd w:val="clear" w:color="auto" w:fill="D0C7C4"/>
            <w:vAlign w:val="bottom"/>
          </w:tcPr>
          <w:p w14:paraId="263D1A94" w14:textId="77777777" w:rsidR="000C1B69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bookmarkStart w:id="1" w:name="Date"/>
            <w:r>
              <w:rPr>
                <w:sz w:val="16"/>
                <w:szCs w:val="16"/>
              </w:rPr>
              <w:t>Issued</w:t>
            </w:r>
            <w:r w:rsidR="00B17D68">
              <w:rPr>
                <w:sz w:val="16"/>
                <w:szCs w:val="16"/>
              </w:rPr>
              <w:t xml:space="preserve"> </w:t>
            </w:r>
            <w:r w:rsidR="00EC66CA">
              <w:rPr>
                <w:sz w:val="16"/>
                <w:szCs w:val="16"/>
              </w:rPr>
              <w:t>October</w:t>
            </w:r>
            <w:r w:rsidR="000C1B69">
              <w:rPr>
                <w:sz w:val="16"/>
                <w:szCs w:val="16"/>
              </w:rPr>
              <w:t xml:space="preserve"> </w:t>
            </w:r>
            <w:r w:rsidR="00E87504">
              <w:rPr>
                <w:sz w:val="16"/>
                <w:szCs w:val="16"/>
              </w:rPr>
              <w:t>201</w:t>
            </w:r>
            <w:r w:rsidR="00EC66CA">
              <w:rPr>
                <w:sz w:val="16"/>
                <w:szCs w:val="16"/>
              </w:rPr>
              <w:t>3</w:t>
            </w:r>
          </w:p>
          <w:p w14:paraId="113169F3" w14:textId="618004F4" w:rsidR="000C1B69" w:rsidRPr="00DD107D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Reviewed</w:t>
            </w:r>
            <w:r w:rsidR="000C1B69">
              <w:rPr>
                <w:sz w:val="16"/>
                <w:szCs w:val="16"/>
              </w:rPr>
              <w:t xml:space="preserve"> </w:t>
            </w:r>
            <w:bookmarkEnd w:id="1"/>
            <w:r w:rsidR="00117E0D">
              <w:rPr>
                <w:sz w:val="16"/>
                <w:szCs w:val="16"/>
              </w:rPr>
              <w:t xml:space="preserve">February </w:t>
            </w:r>
            <w:r w:rsidR="00B61456">
              <w:rPr>
                <w:sz w:val="16"/>
                <w:szCs w:val="16"/>
              </w:rPr>
              <w:t>2025</w:t>
            </w:r>
          </w:p>
        </w:tc>
        <w:tc>
          <w:tcPr>
            <w:tcW w:w="967" w:type="dxa"/>
            <w:shd w:val="clear" w:color="auto" w:fill="D0C7C4"/>
            <w:vAlign w:val="bottom"/>
          </w:tcPr>
          <w:p w14:paraId="2FBA3C03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6039CF31" w14:textId="77777777" w:rsidTr="00A417EA">
        <w:trPr>
          <w:trHeight w:val="397"/>
        </w:trPr>
        <w:tc>
          <w:tcPr>
            <w:tcW w:w="850" w:type="dxa"/>
            <w:shd w:val="clear" w:color="auto" w:fill="D0C7C4"/>
            <w:vAlign w:val="bottom"/>
          </w:tcPr>
          <w:p w14:paraId="20993940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31361F1F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  <w:vAlign w:val="bottom"/>
          </w:tcPr>
          <w:p w14:paraId="0454BE0F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  <w:vAlign w:val="bottom"/>
          </w:tcPr>
          <w:p w14:paraId="420BF81A" w14:textId="77777777" w:rsidR="000C1B69" w:rsidRPr="002F2679" w:rsidRDefault="000C1B69" w:rsidP="000A6499">
            <w:pPr>
              <w:rPr>
                <w:caps/>
              </w:rPr>
            </w:pPr>
          </w:p>
        </w:tc>
      </w:tr>
    </w:tbl>
    <w:p w14:paraId="24CE6B29" w14:textId="074AE5FA" w:rsidR="00EC66CA" w:rsidRPr="00E67A53" w:rsidRDefault="00EC66CA" w:rsidP="00EC66CA">
      <w:pPr>
        <w:pStyle w:val="Heading2"/>
      </w:pPr>
      <w:r>
        <w:rPr>
          <w:b w:val="0"/>
        </w:rPr>
        <w:t xml:space="preserve">Appendix </w:t>
      </w:r>
      <w:r w:rsidR="002815C1">
        <w:rPr>
          <w:b w:val="0"/>
        </w:rPr>
        <w:t>3</w:t>
      </w:r>
      <w:r>
        <w:rPr>
          <w:b w:val="0"/>
        </w:rPr>
        <w:t>: OUTLINE contract BETWEEN A FIRM AND A SUBCONTRACTOR</w:t>
      </w:r>
    </w:p>
    <w:p w14:paraId="1DF1CE00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 w:rsidRPr="00C4053A">
        <w:t>1.</w:t>
      </w:r>
      <w:r w:rsidRPr="00C4053A">
        <w:tab/>
        <w:t>Names and addresses of the parties.</w:t>
      </w:r>
    </w:p>
    <w:p w14:paraId="6078A220" w14:textId="77777777" w:rsidR="00EC66CA" w:rsidRPr="00C4053A" w:rsidRDefault="00EC66CA" w:rsidP="00EC66CA">
      <w:pPr>
        <w:pStyle w:val="FooterReference"/>
      </w:pPr>
    </w:p>
    <w:p w14:paraId="0EF09472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2.</w:t>
      </w:r>
      <w:r>
        <w:tab/>
        <w:t>Purpose of contract</w:t>
      </w:r>
      <w:r w:rsidRPr="00C4053A">
        <w:t>.</w:t>
      </w:r>
    </w:p>
    <w:p w14:paraId="3E7BA5B1" w14:textId="77777777" w:rsidR="00EC66CA" w:rsidRDefault="00EC66CA" w:rsidP="00EC66CA">
      <w:pPr>
        <w:pStyle w:val="FooterReference"/>
      </w:pPr>
    </w:p>
    <w:p w14:paraId="28904DB2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3.</w:t>
      </w:r>
      <w:r>
        <w:tab/>
        <w:t>Confirmation of compliance with anti-money laundering requirements</w:t>
      </w:r>
      <w:r w:rsidRPr="00C4053A">
        <w:t>.</w:t>
      </w:r>
    </w:p>
    <w:p w14:paraId="430169B3" w14:textId="4E246784" w:rsidR="00EC66CA" w:rsidRDefault="00EC66CA" w:rsidP="00EC66CA">
      <w:pPr>
        <w:pStyle w:val="ListParagraph"/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567"/>
        <w:jc w:val="both"/>
      </w:pPr>
      <w:r>
        <w:t xml:space="preserve">The firm is appropriately registered for the purposes of </w:t>
      </w:r>
      <w:r w:rsidR="0039017C">
        <w:t xml:space="preserve">money laundering regulations </w:t>
      </w:r>
      <w:r>
        <w:t>and will provide relevant and appropriate anti-money laundering training; and that the subcontractor will not contract directly with the underlying client and will comply fully with the firm’s anti-money laundering policies and procedures.</w:t>
      </w:r>
      <w:r w:rsidR="00A6367C">
        <w:t xml:space="preserve"> Include the obligations of the subcontractor to report </w:t>
      </w:r>
      <w:r w:rsidR="00B61456">
        <w:t xml:space="preserve">any suspicious activity </w:t>
      </w:r>
      <w:r w:rsidR="00A6367C">
        <w:t xml:space="preserve">to the firm’s MLRO, and/or </w:t>
      </w:r>
      <w:r w:rsidR="00B61456">
        <w:t xml:space="preserve">report </w:t>
      </w:r>
      <w:r w:rsidR="00A6367C">
        <w:t xml:space="preserve">to the MLRO of the subcontractor’s own firm under their </w:t>
      </w:r>
      <w:r w:rsidR="00B61456">
        <w:t>policies and procedures.</w:t>
      </w:r>
    </w:p>
    <w:p w14:paraId="2840CF2C" w14:textId="77777777" w:rsidR="00EC66CA" w:rsidRDefault="00EC66CA" w:rsidP="00EC66CA">
      <w:p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567" w:hanging="567"/>
      </w:pPr>
      <w:r>
        <w:t xml:space="preserve">4. </w:t>
      </w:r>
      <w:r>
        <w:tab/>
        <w:t xml:space="preserve">Confirmation of compliance with data protection legislation (including confirmation of data controller, joint controller or inclusion of data processor contractual clauses as appropriate) </w:t>
      </w:r>
    </w:p>
    <w:p w14:paraId="595887FA" w14:textId="77777777" w:rsidR="00EC66CA" w:rsidRPr="00C4053A" w:rsidRDefault="00EC66CA" w:rsidP="00EC66CA">
      <w:pPr>
        <w:pStyle w:val="FooterReference"/>
      </w:pPr>
    </w:p>
    <w:p w14:paraId="3465561E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5</w:t>
      </w:r>
      <w:r w:rsidRPr="00C4053A">
        <w:t>.</w:t>
      </w:r>
      <w:r w:rsidRPr="00C4053A">
        <w:tab/>
        <w:t>Statement of res</w:t>
      </w:r>
      <w:r>
        <w:t>ponsibilities and duties of the sub</w:t>
      </w:r>
      <w:r w:rsidRPr="00C4053A">
        <w:t>contractor, including:</w:t>
      </w:r>
    </w:p>
    <w:p w14:paraId="2EA57DA3" w14:textId="77777777" w:rsidR="00EC66CA" w:rsidRPr="00C4053A" w:rsidRDefault="00EC66CA" w:rsidP="00EC66CA">
      <w:pPr>
        <w:pStyle w:val="ListParagraph"/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27"/>
        </w:tabs>
        <w:suppressAutoHyphens/>
        <w:spacing w:before="120" w:line="240" w:lineRule="auto"/>
        <w:ind w:left="927"/>
        <w:jc w:val="both"/>
      </w:pPr>
      <w:r>
        <w:t>A</w:t>
      </w:r>
      <w:r w:rsidRPr="00C4053A">
        <w:t>greement to uphold</w:t>
      </w:r>
      <w:r>
        <w:t xml:space="preserve"> all relevant aspects of </w:t>
      </w:r>
      <w:r w:rsidRPr="00C4053A">
        <w:t>ICAEW</w:t>
      </w:r>
      <w:r>
        <w:t>’s Code of Ethics.</w:t>
      </w:r>
    </w:p>
    <w:p w14:paraId="1DD1ADA9" w14:textId="65A40047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>greemen</w:t>
      </w:r>
      <w:r>
        <w:t xml:space="preserve">t to provide regular written declarations covering </w:t>
      </w:r>
      <w:r w:rsidRPr="00C4053A">
        <w:t xml:space="preserve">confidentiality undertaking, independence declaration, </w:t>
      </w:r>
      <w:r>
        <w:t>‘</w:t>
      </w:r>
      <w:r w:rsidRPr="00C4053A">
        <w:t>fit and proper</w:t>
      </w:r>
      <w:r>
        <w:t>’</w:t>
      </w:r>
      <w:r w:rsidRPr="00C4053A">
        <w:t xml:space="preserve"> declaration, record of CPD (</w:t>
      </w:r>
      <w:r>
        <w:t>c</w:t>
      </w:r>
      <w:r w:rsidRPr="00C4053A">
        <w:t xml:space="preserve">ontinuing </w:t>
      </w:r>
      <w:r>
        <w:t>p</w:t>
      </w:r>
      <w:r w:rsidRPr="00C4053A">
        <w:t xml:space="preserve">rofessional </w:t>
      </w:r>
      <w:r>
        <w:t>d</w:t>
      </w:r>
      <w:r w:rsidRPr="00C4053A">
        <w:t>evelopment)</w:t>
      </w:r>
      <w:r>
        <w:t xml:space="preserve"> data protection</w:t>
      </w:r>
      <w:r w:rsidRPr="00C4053A">
        <w:t>, etc</w:t>
      </w:r>
      <w:r>
        <w:t>.</w:t>
      </w:r>
    </w:p>
    <w:p w14:paraId="0FFFDEE6" w14:textId="77777777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 xml:space="preserve">greement </w:t>
      </w:r>
      <w:r>
        <w:t xml:space="preserve">(if appropriate) </w:t>
      </w:r>
      <w:r w:rsidRPr="00C4053A">
        <w:t>restricting direct contact with client</w:t>
      </w:r>
      <w:r>
        <w:t>.</w:t>
      </w:r>
    </w:p>
    <w:p w14:paraId="6616E15D" w14:textId="5FAB8F04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U</w:t>
      </w:r>
      <w:r w:rsidRPr="00C4053A">
        <w:t>se of office facilities (</w:t>
      </w:r>
      <w:r>
        <w:t xml:space="preserve">including private usage of the firm’s </w:t>
      </w:r>
      <w:r w:rsidRPr="00C4053A">
        <w:t xml:space="preserve">equipment, library, </w:t>
      </w:r>
      <w:r>
        <w:t xml:space="preserve">internet connection, email, telephone system, </w:t>
      </w:r>
      <w:r w:rsidRPr="00C4053A">
        <w:t>etc.)</w:t>
      </w:r>
      <w:r>
        <w:t>.</w:t>
      </w:r>
    </w:p>
    <w:p w14:paraId="16D09563" w14:textId="539A6385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U</w:t>
      </w:r>
      <w:r w:rsidRPr="00C4053A">
        <w:t>ndertakings in respect of</w:t>
      </w:r>
      <w:r>
        <w:t xml:space="preserve"> compliance with the firm’s internal operating procedures and professional standards regarding working papers, review and supervision and the safekeeping and security of</w:t>
      </w:r>
      <w:r w:rsidRPr="00C4053A">
        <w:t xml:space="preserve"> books and records taken out of the firm</w:t>
      </w:r>
      <w:r>
        <w:t>’</w:t>
      </w:r>
      <w:r w:rsidRPr="00C4053A">
        <w:t>s offices</w:t>
      </w:r>
      <w:r>
        <w:t>.</w:t>
      </w:r>
    </w:p>
    <w:p w14:paraId="5AFFC051" w14:textId="77777777" w:rsidR="00EC66CA" w:rsidRPr="00C4053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>greement concerning collection and delivery of work.</w:t>
      </w:r>
    </w:p>
    <w:p w14:paraId="2081DCF6" w14:textId="64E8C1B3" w:rsidR="00EC66CA" w:rsidRDefault="00EC66CA" w:rsidP="00EC66CA">
      <w:pPr>
        <w:numPr>
          <w:ilvl w:val="0"/>
          <w:numId w:val="30"/>
        </w:numPr>
        <w:tabs>
          <w:tab w:val="clear" w:pos="360"/>
          <w:tab w:val="left" w:pos="-720"/>
          <w:tab w:val="left" w:pos="0"/>
          <w:tab w:val="left" w:pos="567"/>
          <w:tab w:val="num" w:pos="993"/>
        </w:tabs>
        <w:suppressAutoHyphens/>
        <w:spacing w:before="120" w:line="240" w:lineRule="auto"/>
        <w:ind w:left="992" w:hanging="425"/>
      </w:pPr>
      <w:r>
        <w:t>A</w:t>
      </w:r>
      <w:r w:rsidRPr="00C4053A">
        <w:t>greement to refrain from accepting professional work f</w:t>
      </w:r>
      <w:r>
        <w:t xml:space="preserve">rom </w:t>
      </w:r>
      <w:r w:rsidRPr="00C4053A">
        <w:t>clients of the firm.</w:t>
      </w:r>
    </w:p>
    <w:p w14:paraId="310694AC" w14:textId="77777777" w:rsidR="00EC66CA" w:rsidRPr="00C4053A" w:rsidRDefault="00EC66CA" w:rsidP="00EC66CA">
      <w:pPr>
        <w:pStyle w:val="FooterReference"/>
      </w:pPr>
    </w:p>
    <w:p w14:paraId="64825303" w14:textId="505BEECE" w:rsidR="00EC66CA" w:rsidRPr="00C4053A" w:rsidRDefault="00EC66CA" w:rsidP="00EC66CA">
      <w:pPr>
        <w:tabs>
          <w:tab w:val="left" w:pos="-720"/>
          <w:tab w:val="left" w:pos="567"/>
        </w:tabs>
        <w:suppressAutoHyphens/>
      </w:pPr>
      <w:r>
        <w:t>6</w:t>
      </w:r>
      <w:r w:rsidRPr="00C4053A">
        <w:t>.</w:t>
      </w:r>
      <w:r w:rsidRPr="00C4053A">
        <w:tab/>
        <w:t>Statement of undertakings by the firm including:</w:t>
      </w:r>
    </w:p>
    <w:p w14:paraId="76B793B2" w14:textId="71E53B8F" w:rsidR="00EC66CA" w:rsidRDefault="00EC66CA" w:rsidP="00EC66CA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jc w:val="both"/>
      </w:pPr>
      <w:r>
        <w:t xml:space="preserve">Confirmation that the subcontractor’s work is covered by the professional indemnity insurance of the who have been notified of the </w:t>
      </w:r>
      <w:proofErr w:type="gramStart"/>
      <w:r>
        <w:t>subcontractors</w:t>
      </w:r>
      <w:proofErr w:type="gramEnd"/>
      <w:r>
        <w:t xml:space="preserve"> name and status (include as appropriate other insurances).</w:t>
      </w:r>
    </w:p>
    <w:p w14:paraId="7BAA0C4C" w14:textId="77777777" w:rsidR="00EC66CA" w:rsidRPr="00C4053A" w:rsidRDefault="00EC66CA" w:rsidP="00EC66CA">
      <w:pPr>
        <w:numPr>
          <w:ilvl w:val="0"/>
          <w:numId w:val="32"/>
        </w:num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992" w:hanging="425"/>
      </w:pPr>
      <w:r>
        <w:t>Notification of available work.</w:t>
      </w:r>
    </w:p>
    <w:p w14:paraId="45A6AA88" w14:textId="77777777" w:rsidR="00EC66CA" w:rsidRPr="00C4053A" w:rsidRDefault="00EC66CA" w:rsidP="00EC66CA">
      <w:pPr>
        <w:numPr>
          <w:ilvl w:val="0"/>
          <w:numId w:val="32"/>
        </w:numPr>
        <w:tabs>
          <w:tab w:val="left" w:pos="-720"/>
          <w:tab w:val="left" w:pos="0"/>
          <w:tab w:val="left" w:pos="567"/>
        </w:tabs>
        <w:suppressAutoHyphens/>
        <w:spacing w:before="120" w:line="240" w:lineRule="auto"/>
        <w:ind w:left="992" w:hanging="425"/>
      </w:pPr>
      <w:r>
        <w:t>R</w:t>
      </w:r>
      <w:r w:rsidRPr="00C4053A">
        <w:t>eview and supervision of work provisions</w:t>
      </w:r>
      <w:r>
        <w:t>.</w:t>
      </w:r>
    </w:p>
    <w:p w14:paraId="25E9050A" w14:textId="77777777" w:rsidR="00EC66CA" w:rsidRPr="00C4053A" w:rsidRDefault="00EC66CA" w:rsidP="00EC66CA">
      <w:pPr>
        <w:pStyle w:val="FooterReference"/>
      </w:pPr>
    </w:p>
    <w:p w14:paraId="77731E1B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lastRenderedPageBreak/>
        <w:t>7</w:t>
      </w:r>
      <w:r w:rsidRPr="00C4053A">
        <w:t>.</w:t>
      </w:r>
      <w:r w:rsidRPr="00C4053A">
        <w:tab/>
        <w:t>Agreement by the subcontractor in respect of personal responsibilities to meet personal tax and National Insurance liabilities</w:t>
      </w:r>
      <w:r>
        <w:t xml:space="preserve"> with an undertaking to </w:t>
      </w:r>
      <w:r w:rsidRPr="00C4053A">
        <w:t>notify practice immediately of any changes</w:t>
      </w:r>
      <w:r>
        <w:t xml:space="preserve"> in circumstances</w:t>
      </w:r>
      <w:r w:rsidRPr="00C4053A">
        <w:t>.</w:t>
      </w:r>
    </w:p>
    <w:p w14:paraId="1656EAF8" w14:textId="77777777" w:rsidR="00EC66CA" w:rsidRPr="00C4053A" w:rsidRDefault="00EC66CA" w:rsidP="00EC66CA">
      <w:pPr>
        <w:pStyle w:val="FooterReference"/>
      </w:pPr>
    </w:p>
    <w:p w14:paraId="1F80FAFF" w14:textId="77777777" w:rsidR="00EC66C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8</w:t>
      </w:r>
      <w:r w:rsidRPr="00C4053A">
        <w:t>.</w:t>
      </w:r>
      <w:r w:rsidRPr="00C4053A">
        <w:tab/>
        <w:t>Statement of the basis of calculation of subcontractor's fees and applicable rates</w:t>
      </w:r>
      <w:r>
        <w:t xml:space="preserve">. </w:t>
      </w:r>
      <w:r w:rsidRPr="00C4053A">
        <w:t xml:space="preserve">Mention should be made of any necessary records or evidence that will </w:t>
      </w:r>
      <w:r>
        <w:t>be required to support the fee.</w:t>
      </w:r>
    </w:p>
    <w:p w14:paraId="3229C661" w14:textId="77777777" w:rsidR="00EC66CA" w:rsidRDefault="00EC66CA" w:rsidP="00EC66CA">
      <w:pPr>
        <w:pStyle w:val="FooterReference"/>
      </w:pPr>
    </w:p>
    <w:p w14:paraId="07AC447E" w14:textId="022ADE48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9.</w:t>
      </w:r>
      <w:r>
        <w:tab/>
        <w:t>Confirmation that the firm will re</w:t>
      </w:r>
      <w:r w:rsidRPr="00C4053A">
        <w:t>imburse necessary out-of-pocket expenses</w:t>
      </w:r>
      <w:r>
        <w:t>, supported by appropriate evidence to support the expenditure</w:t>
      </w:r>
      <w:r w:rsidRPr="00C4053A">
        <w:t>.</w:t>
      </w:r>
    </w:p>
    <w:p w14:paraId="76CC53A9" w14:textId="77777777" w:rsidR="00EC66CA" w:rsidRPr="00C4053A" w:rsidRDefault="00EC66CA" w:rsidP="00EC66CA">
      <w:pPr>
        <w:pStyle w:val="FooterReference"/>
      </w:pPr>
    </w:p>
    <w:p w14:paraId="17B27BF3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10</w:t>
      </w:r>
      <w:r w:rsidRPr="00C4053A">
        <w:t>.</w:t>
      </w:r>
      <w:r w:rsidRPr="00C4053A">
        <w:tab/>
        <w:t>Payment terms and conditions.</w:t>
      </w:r>
    </w:p>
    <w:p w14:paraId="3549CF00" w14:textId="77777777" w:rsidR="00EC66CA" w:rsidRPr="00C4053A" w:rsidRDefault="00EC66CA" w:rsidP="00EC66CA">
      <w:pPr>
        <w:pStyle w:val="FooterReference"/>
      </w:pPr>
    </w:p>
    <w:p w14:paraId="6B9715E7" w14:textId="77777777" w:rsidR="00EC66CA" w:rsidRPr="00C4053A" w:rsidRDefault="00EC66CA" w:rsidP="00EC66CA">
      <w:pPr>
        <w:tabs>
          <w:tab w:val="left" w:pos="-720"/>
          <w:tab w:val="left" w:pos="0"/>
        </w:tabs>
        <w:suppressAutoHyphens/>
        <w:ind w:left="567" w:hanging="567"/>
      </w:pPr>
      <w:r>
        <w:t>11</w:t>
      </w:r>
      <w:r w:rsidRPr="00C4053A">
        <w:t>.</w:t>
      </w:r>
      <w:r w:rsidRPr="00C4053A">
        <w:tab/>
        <w:t>Disciplinary procedures and consequences.</w:t>
      </w:r>
    </w:p>
    <w:p w14:paraId="1E303622" w14:textId="77777777" w:rsidR="00EC66CA" w:rsidRPr="00CA5946" w:rsidRDefault="00EC66CA" w:rsidP="00EC66CA">
      <w:pPr>
        <w:pStyle w:val="FooterReference"/>
        <w:rPr>
          <w:sz w:val="22"/>
          <w:szCs w:val="22"/>
        </w:rPr>
      </w:pPr>
    </w:p>
    <w:p w14:paraId="3A996987" w14:textId="77777777" w:rsidR="009D0EDB" w:rsidRDefault="00EC66CA" w:rsidP="009D0EDB">
      <w:pPr>
        <w:tabs>
          <w:tab w:val="left" w:pos="-720"/>
          <w:tab w:val="left" w:pos="0"/>
        </w:tabs>
        <w:suppressAutoHyphens/>
        <w:ind w:left="567" w:hanging="567"/>
      </w:pPr>
      <w:r>
        <w:t>12</w:t>
      </w:r>
      <w:r w:rsidRPr="00C4053A">
        <w:t>.</w:t>
      </w:r>
      <w:r w:rsidRPr="00C4053A">
        <w:tab/>
        <w:t>Signatures of both par</w:t>
      </w:r>
      <w:r>
        <w:t>ties and dating of the contract</w:t>
      </w:r>
      <w:r w:rsidRPr="00C4053A">
        <w:t>.</w:t>
      </w:r>
    </w:p>
    <w:p w14:paraId="2A723C35" w14:textId="77777777" w:rsidR="009D0EDB" w:rsidRDefault="009D0EDB" w:rsidP="009D0EDB">
      <w:pPr>
        <w:rPr>
          <w:rFonts w:eastAsiaTheme="minorHAnsi" w:cstheme="minorBidi"/>
          <w:lang w:eastAsia="en-US"/>
        </w:rPr>
      </w:pPr>
    </w:p>
    <w:p w14:paraId="7B7C80C3" w14:textId="77777777" w:rsidR="009D0EDB" w:rsidRDefault="009D0EDB" w:rsidP="009D0EDB"/>
    <w:p w14:paraId="7264ABED" w14:textId="6800EF99" w:rsidR="009D0EDB" w:rsidRPr="00E45FD8" w:rsidRDefault="009D0EDB" w:rsidP="009D0EDB">
      <w:pPr>
        <w:pStyle w:val="Bodycopy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© ICAEW </w:t>
      </w:r>
      <w:proofErr w:type="gramStart"/>
      <w:r>
        <w:rPr>
          <w:rFonts w:cs="Arial"/>
          <w:sz w:val="16"/>
          <w:szCs w:val="16"/>
        </w:rPr>
        <w:t>20</w:t>
      </w:r>
      <w:r w:rsidR="00D24920">
        <w:rPr>
          <w:rFonts w:cs="Arial"/>
          <w:sz w:val="16"/>
          <w:szCs w:val="16"/>
        </w:rPr>
        <w:t>25</w:t>
      </w:r>
      <w:r w:rsidRPr="00E45FD8">
        <w:rPr>
          <w:rFonts w:cs="Arial"/>
          <w:sz w:val="16"/>
          <w:szCs w:val="16"/>
        </w:rPr>
        <w:t>  All</w:t>
      </w:r>
      <w:proofErr w:type="gramEnd"/>
      <w:r w:rsidRPr="00E45FD8">
        <w:rPr>
          <w:rFonts w:cs="Arial"/>
          <w:sz w:val="16"/>
          <w:szCs w:val="16"/>
        </w:rPr>
        <w:t xml:space="preserve"> rights reserved.</w:t>
      </w:r>
    </w:p>
    <w:p w14:paraId="1B24A34D" w14:textId="77777777" w:rsidR="009D0EDB" w:rsidRPr="00E45FD8" w:rsidRDefault="009D0EDB" w:rsidP="009D0EDB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 xml:space="preserve">ICAEW cannot accept responsibility for any person acting or refraining to act </w:t>
      </w:r>
      <w:proofErr w:type="gramStart"/>
      <w:r w:rsidRPr="00E45FD8">
        <w:rPr>
          <w:rFonts w:cs="Arial"/>
          <w:sz w:val="16"/>
          <w:szCs w:val="16"/>
        </w:rPr>
        <w:t>as a result of</w:t>
      </w:r>
      <w:proofErr w:type="gramEnd"/>
      <w:r w:rsidRPr="00E45FD8">
        <w:rPr>
          <w:rFonts w:cs="Arial"/>
          <w:sz w:val="16"/>
          <w:szCs w:val="16"/>
        </w:rPr>
        <w:t xml:space="preserve"> any material contained in this helpsheet. This helpsheet is designed to alert members to an important issue of general application. It is not intended to be a definitive statement covering all aspects but is a brief comment on a specific point.</w:t>
      </w:r>
    </w:p>
    <w:p w14:paraId="679992B8" w14:textId="77777777" w:rsidR="009D0EDB" w:rsidRPr="00E45FD8" w:rsidRDefault="009D0EDB" w:rsidP="009D0EDB">
      <w:pPr>
        <w:rPr>
          <w:rFonts w:cs="Arial"/>
          <w:sz w:val="16"/>
          <w:szCs w:val="16"/>
        </w:rPr>
      </w:pPr>
    </w:p>
    <w:p w14:paraId="099E7D35" w14:textId="77777777" w:rsidR="009D0EDB" w:rsidRPr="00E45FD8" w:rsidRDefault="009D0EDB" w:rsidP="009D0EDB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ICAEW members have permission to use and reproduce this helpsheet on the following conditions:</w:t>
      </w:r>
    </w:p>
    <w:p w14:paraId="2035FDFF" w14:textId="77777777" w:rsidR="009D0EDB" w:rsidRPr="00E45FD8" w:rsidRDefault="009D0EDB" w:rsidP="009D0EDB">
      <w:pPr>
        <w:rPr>
          <w:rFonts w:cs="Arial"/>
          <w:sz w:val="16"/>
          <w:szCs w:val="16"/>
        </w:rPr>
      </w:pPr>
    </w:p>
    <w:p w14:paraId="525DEBC3" w14:textId="77777777" w:rsidR="009D0EDB" w:rsidRPr="00E45FD8" w:rsidRDefault="009D0EDB" w:rsidP="009D0EDB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This permission is strictly limited to ICAEW members only who are using the helpsheet for guidance only.</w:t>
      </w:r>
    </w:p>
    <w:p w14:paraId="782A86A8" w14:textId="77777777" w:rsidR="009D0EDB" w:rsidRPr="00E45FD8" w:rsidRDefault="009D0EDB" w:rsidP="009D0EDB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The helpsheet is to be reproduced for personal, non-commercial use only and is not for re-distribution.</w:t>
      </w:r>
    </w:p>
    <w:p w14:paraId="127CCDAD" w14:textId="77777777" w:rsidR="009D0EDB" w:rsidRPr="00E45FD8" w:rsidRDefault="009D0EDB" w:rsidP="009D0EDB">
      <w:pPr>
        <w:rPr>
          <w:rFonts w:cs="Arial"/>
          <w:sz w:val="16"/>
          <w:szCs w:val="16"/>
        </w:rPr>
      </w:pPr>
    </w:p>
    <w:p w14:paraId="58EB1606" w14:textId="06F4A331" w:rsidR="009D0EDB" w:rsidRDefault="009D0EDB" w:rsidP="009D0EDB">
      <w:r w:rsidRPr="00E45FD8">
        <w:rPr>
          <w:rFonts w:cs="Arial"/>
          <w:sz w:val="16"/>
          <w:szCs w:val="16"/>
        </w:rPr>
        <w:t>For further details members are invited to telephone the Technical Advisory Service</w:t>
      </w:r>
      <w:r w:rsidRPr="00E45FD8">
        <w:rPr>
          <w:rFonts w:cs="Arial"/>
          <w:b/>
          <w:bCs/>
          <w:sz w:val="16"/>
          <w:szCs w:val="16"/>
        </w:rPr>
        <w:t xml:space="preserve"> T</w:t>
      </w:r>
      <w:r w:rsidRPr="00E45FD8">
        <w:rPr>
          <w:rFonts w:cs="Arial"/>
          <w:sz w:val="16"/>
          <w:szCs w:val="16"/>
        </w:rPr>
        <w:t xml:space="preserve"> +44 (0)1908 248250. The Technical Advisory Service comprises the technical enquiries, ethics advice</w:t>
      </w:r>
      <w:r w:rsidR="0039017C">
        <w:rPr>
          <w:rFonts w:cs="Arial"/>
          <w:sz w:val="16"/>
          <w:szCs w:val="16"/>
        </w:rPr>
        <w:t xml:space="preserve">, </w:t>
      </w:r>
      <w:r w:rsidRPr="00E45FD8">
        <w:rPr>
          <w:rFonts w:cs="Arial"/>
          <w:sz w:val="16"/>
          <w:szCs w:val="16"/>
        </w:rPr>
        <w:t>anti-money laundering</w:t>
      </w:r>
      <w:r w:rsidR="0039017C">
        <w:rPr>
          <w:rFonts w:cs="Arial"/>
          <w:sz w:val="16"/>
          <w:szCs w:val="16"/>
        </w:rPr>
        <w:t xml:space="preserve"> and fraud</w:t>
      </w:r>
      <w:r w:rsidRPr="00E45FD8">
        <w:rPr>
          <w:rFonts w:cs="Arial"/>
          <w:sz w:val="16"/>
          <w:szCs w:val="16"/>
        </w:rPr>
        <w:t xml:space="preserve"> helplines. For further details visit </w:t>
      </w:r>
      <w:hyperlink r:id="rId8" w:history="1">
        <w:r w:rsidRPr="00E45FD8">
          <w:rPr>
            <w:rFonts w:cs="Arial"/>
            <w:color w:val="CC0000"/>
            <w:sz w:val="16"/>
            <w:szCs w:val="16"/>
            <w:u w:val="single" w:color="CC0000"/>
          </w:rPr>
          <w:t>icaew.com/</w:t>
        </w:r>
        <w:proofErr w:type="spellStart"/>
        <w:r w:rsidRPr="00E45FD8">
          <w:rPr>
            <w:rFonts w:cs="Arial"/>
            <w:color w:val="CC0000"/>
            <w:sz w:val="16"/>
            <w:szCs w:val="16"/>
            <w:u w:val="single" w:color="CC0000"/>
          </w:rPr>
          <w:t>tas</w:t>
        </w:r>
        <w:proofErr w:type="spellEnd"/>
      </w:hyperlink>
    </w:p>
    <w:sectPr w:rsidR="009D0EDB" w:rsidSect="00964037">
      <w:footerReference w:type="default" r:id="rId9"/>
      <w:pgSz w:w="11906" w:h="16838"/>
      <w:pgMar w:top="1440" w:right="1440" w:bottom="2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8F7D" w14:textId="77777777" w:rsidR="000A6499" w:rsidRDefault="000A6499" w:rsidP="000C1B69">
      <w:pPr>
        <w:spacing w:line="240" w:lineRule="auto"/>
      </w:pPr>
      <w:r>
        <w:separator/>
      </w:r>
    </w:p>
  </w:endnote>
  <w:endnote w:type="continuationSeparator" w:id="0">
    <w:p w14:paraId="1C9DACA8" w14:textId="77777777" w:rsidR="000A6499" w:rsidRDefault="000A6499" w:rsidP="000C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3B8A" w14:textId="77777777" w:rsidR="000A6499" w:rsidRPr="00FA5A6E" w:rsidRDefault="000A6499" w:rsidP="000A6499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BC1BAC" wp14:editId="607E44FD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348954" cy="1403985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5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97DE4" w14:textId="77777777" w:rsidR="000A6499" w:rsidRPr="004B5568" w:rsidRDefault="000A6499" w:rsidP="000A6499">
                          <w:pPr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0ED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199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7pt;margin-top:6.5pt;width:27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" o:allowincell="f" stroked="f">
              <v:textbox style="mso-fit-shape-to-text:t" inset="0,0,0,0">
                <w:txbxContent>
                  <w:p w:rsidR="000A6499" w:rsidRPr="004B5568" w:rsidRDefault="000A6499" w:rsidP="000A6499">
                    <w:pPr>
                      <w:jc w:val="right"/>
                      <w:rPr>
                        <w:noProof/>
                        <w:sz w:val="16"/>
                        <w:szCs w:val="16"/>
                      </w:rPr>
                    </w:pP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instrText>page</w:instrTex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D0EDB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A5A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8C94C" w14:textId="77777777" w:rsidR="000A6499" w:rsidRDefault="000A6499" w:rsidP="000C1B69">
      <w:pPr>
        <w:spacing w:line="240" w:lineRule="auto"/>
      </w:pPr>
      <w:r>
        <w:separator/>
      </w:r>
    </w:p>
  </w:footnote>
  <w:footnote w:type="continuationSeparator" w:id="0">
    <w:p w14:paraId="2D71DB0A" w14:textId="77777777" w:rsidR="000A6499" w:rsidRDefault="000A6499" w:rsidP="000C1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CEB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07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AFB62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6525B7C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20AA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AC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D8B4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ED7D31" w:themeColor="accent2"/>
      </w:rPr>
    </w:lvl>
  </w:abstractNum>
  <w:abstractNum w:abstractNumId="7" w15:restartNumberingAfterBreak="0">
    <w:nsid w:val="FFFFFF83"/>
    <w:multiLevelType w:val="singleLevel"/>
    <w:tmpl w:val="5E8CBC3A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  <w:color w:val="E7E6E6" w:themeColor="background2"/>
      </w:rPr>
    </w:lvl>
  </w:abstractNum>
  <w:abstractNum w:abstractNumId="8" w15:restartNumberingAfterBreak="0">
    <w:nsid w:val="FFFFFF88"/>
    <w:multiLevelType w:val="singleLevel"/>
    <w:tmpl w:val="78FA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C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7E6E6" w:themeColor="background2"/>
      </w:rPr>
    </w:lvl>
  </w:abstractNum>
  <w:abstractNum w:abstractNumId="10" w15:restartNumberingAfterBreak="0">
    <w:nsid w:val="0C304C0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8F2"/>
    <w:multiLevelType w:val="hybridMultilevel"/>
    <w:tmpl w:val="DB62C84C"/>
    <w:lvl w:ilvl="0" w:tplc="26888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A6E3F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126311F5"/>
    <w:multiLevelType w:val="hybridMultilevel"/>
    <w:tmpl w:val="38A0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D70C6"/>
    <w:multiLevelType w:val="hybridMultilevel"/>
    <w:tmpl w:val="38B83E9A"/>
    <w:lvl w:ilvl="0" w:tplc="FEACBA50">
      <w:start w:val="1"/>
      <w:numFmt w:val="lowerLetter"/>
      <w:lvlText w:val="%1)"/>
      <w:lvlJc w:val="left"/>
      <w:pPr>
        <w:ind w:left="993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18145F04"/>
    <w:multiLevelType w:val="multilevel"/>
    <w:tmpl w:val="6AC47156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7" w15:restartNumberingAfterBreak="0">
    <w:nsid w:val="225D0DE7"/>
    <w:multiLevelType w:val="hybridMultilevel"/>
    <w:tmpl w:val="F3103C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777336E"/>
    <w:multiLevelType w:val="hybridMultilevel"/>
    <w:tmpl w:val="543851E4"/>
    <w:lvl w:ilvl="0" w:tplc="F8A449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808D2"/>
    <w:multiLevelType w:val="hybridMultilevel"/>
    <w:tmpl w:val="3C8C4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1D23"/>
    <w:multiLevelType w:val="hybridMultilevel"/>
    <w:tmpl w:val="F8F8E894"/>
    <w:lvl w:ilvl="0" w:tplc="64BA8D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37B4D"/>
    <w:multiLevelType w:val="hybridMultilevel"/>
    <w:tmpl w:val="0BCAB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0EC0"/>
    <w:multiLevelType w:val="hybridMultilevel"/>
    <w:tmpl w:val="1FF0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33537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26" w15:restartNumberingAfterBreak="0">
    <w:nsid w:val="43196920"/>
    <w:multiLevelType w:val="hybridMultilevel"/>
    <w:tmpl w:val="3E7C98CA"/>
    <w:lvl w:ilvl="0" w:tplc="F788A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1674"/>
    <w:multiLevelType w:val="hybridMultilevel"/>
    <w:tmpl w:val="2BD4D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63F02A3"/>
    <w:multiLevelType w:val="singleLevel"/>
    <w:tmpl w:val="9CAE6D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9" w15:restartNumberingAfterBreak="0">
    <w:nsid w:val="5A180C6C"/>
    <w:multiLevelType w:val="hybridMultilevel"/>
    <w:tmpl w:val="767E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6D414EE"/>
    <w:multiLevelType w:val="multilevel"/>
    <w:tmpl w:val="2BE094B4"/>
    <w:numStyleLink w:val="Bulletpoints"/>
  </w:abstractNum>
  <w:abstractNum w:abstractNumId="32" w15:restartNumberingAfterBreak="0">
    <w:nsid w:val="6DAA6A9D"/>
    <w:multiLevelType w:val="hybridMultilevel"/>
    <w:tmpl w:val="F5AA3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6F95"/>
    <w:multiLevelType w:val="multilevel"/>
    <w:tmpl w:val="6F18772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213" w:hanging="357"/>
      </w:pPr>
      <w:rPr>
        <w:rFonts w:hint="default"/>
      </w:rPr>
    </w:lvl>
  </w:abstractNum>
  <w:abstractNum w:abstractNumId="34" w15:restartNumberingAfterBreak="0">
    <w:nsid w:val="7AA25DA7"/>
    <w:multiLevelType w:val="hybridMultilevel"/>
    <w:tmpl w:val="3D983FCC"/>
    <w:lvl w:ilvl="0" w:tplc="B100E65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A6C5D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22BC0"/>
    <w:multiLevelType w:val="hybridMultilevel"/>
    <w:tmpl w:val="2468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1363">
    <w:abstractNumId w:val="26"/>
  </w:num>
  <w:num w:numId="2" w16cid:durableId="119421904">
    <w:abstractNumId w:val="29"/>
  </w:num>
  <w:num w:numId="3" w16cid:durableId="1123497505">
    <w:abstractNumId w:val="24"/>
  </w:num>
  <w:num w:numId="4" w16cid:durableId="1684740986">
    <w:abstractNumId w:val="15"/>
  </w:num>
  <w:num w:numId="5" w16cid:durableId="195049576">
    <w:abstractNumId w:val="11"/>
  </w:num>
  <w:num w:numId="6" w16cid:durableId="955135457">
    <w:abstractNumId w:val="27"/>
  </w:num>
  <w:num w:numId="7" w16cid:durableId="2064518549">
    <w:abstractNumId w:val="36"/>
  </w:num>
  <w:num w:numId="8" w16cid:durableId="829562326">
    <w:abstractNumId w:val="13"/>
  </w:num>
  <w:num w:numId="9" w16cid:durableId="341855434">
    <w:abstractNumId w:val="19"/>
  </w:num>
  <w:num w:numId="10" w16cid:durableId="122117864">
    <w:abstractNumId w:val="10"/>
  </w:num>
  <w:num w:numId="11" w16cid:durableId="266817079">
    <w:abstractNumId w:val="35"/>
  </w:num>
  <w:num w:numId="12" w16cid:durableId="773592985">
    <w:abstractNumId w:val="30"/>
  </w:num>
  <w:num w:numId="13" w16cid:durableId="190924088">
    <w:abstractNumId w:val="18"/>
  </w:num>
  <w:num w:numId="14" w16cid:durableId="2104261361">
    <w:abstractNumId w:val="25"/>
  </w:num>
  <w:num w:numId="15" w16cid:durableId="359746561">
    <w:abstractNumId w:val="12"/>
  </w:num>
  <w:num w:numId="16" w16cid:durableId="922371181">
    <w:abstractNumId w:val="8"/>
  </w:num>
  <w:num w:numId="17" w16cid:durableId="615914739">
    <w:abstractNumId w:val="33"/>
  </w:num>
  <w:num w:numId="18" w16cid:durableId="638220236">
    <w:abstractNumId w:val="16"/>
  </w:num>
  <w:num w:numId="19" w16cid:durableId="1383674342">
    <w:abstractNumId w:val="31"/>
  </w:num>
  <w:num w:numId="20" w16cid:durableId="1935898056">
    <w:abstractNumId w:val="3"/>
  </w:num>
  <w:num w:numId="21" w16cid:durableId="570312199">
    <w:abstractNumId w:val="2"/>
  </w:num>
  <w:num w:numId="22" w16cid:durableId="74015999">
    <w:abstractNumId w:val="9"/>
  </w:num>
  <w:num w:numId="23" w16cid:durableId="1302072436">
    <w:abstractNumId w:val="7"/>
  </w:num>
  <w:num w:numId="24" w16cid:durableId="1806502169">
    <w:abstractNumId w:val="6"/>
  </w:num>
  <w:num w:numId="25" w16cid:durableId="85541307">
    <w:abstractNumId w:val="5"/>
  </w:num>
  <w:num w:numId="26" w16cid:durableId="1823152370">
    <w:abstractNumId w:val="4"/>
  </w:num>
  <w:num w:numId="27" w16cid:durableId="638803729">
    <w:abstractNumId w:val="1"/>
  </w:num>
  <w:num w:numId="28" w16cid:durableId="686713120">
    <w:abstractNumId w:val="0"/>
  </w:num>
  <w:num w:numId="29" w16cid:durableId="669260269">
    <w:abstractNumId w:val="22"/>
  </w:num>
  <w:num w:numId="30" w16cid:durableId="1311859721">
    <w:abstractNumId w:val="28"/>
  </w:num>
  <w:num w:numId="31" w16cid:durableId="269972880">
    <w:abstractNumId w:val="14"/>
  </w:num>
  <w:num w:numId="32" w16cid:durableId="568152001">
    <w:abstractNumId w:val="21"/>
  </w:num>
  <w:num w:numId="33" w16cid:durableId="475311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6446378">
    <w:abstractNumId w:val="32"/>
  </w:num>
  <w:num w:numId="35" w16cid:durableId="422608023">
    <w:abstractNumId w:val="20"/>
  </w:num>
  <w:num w:numId="36" w16cid:durableId="1007753816">
    <w:abstractNumId w:val="23"/>
  </w:num>
  <w:num w:numId="37" w16cid:durableId="10232449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69"/>
    <w:rsid w:val="000A6499"/>
    <w:rsid w:val="000B2127"/>
    <w:rsid w:val="000C1B69"/>
    <w:rsid w:val="00117E0D"/>
    <w:rsid w:val="00177539"/>
    <w:rsid w:val="001B3AAE"/>
    <w:rsid w:val="001C7F00"/>
    <w:rsid w:val="002815C1"/>
    <w:rsid w:val="002868DD"/>
    <w:rsid w:val="002A3668"/>
    <w:rsid w:val="0039017C"/>
    <w:rsid w:val="003A7867"/>
    <w:rsid w:val="003B2E0B"/>
    <w:rsid w:val="003B33B6"/>
    <w:rsid w:val="004B45F7"/>
    <w:rsid w:val="005E798A"/>
    <w:rsid w:val="005F5ED9"/>
    <w:rsid w:val="0061124C"/>
    <w:rsid w:val="007E005A"/>
    <w:rsid w:val="007E11C6"/>
    <w:rsid w:val="0082666C"/>
    <w:rsid w:val="00920B2B"/>
    <w:rsid w:val="00936A01"/>
    <w:rsid w:val="00964037"/>
    <w:rsid w:val="009A11BB"/>
    <w:rsid w:val="009D0EDB"/>
    <w:rsid w:val="00A417EA"/>
    <w:rsid w:val="00A6367C"/>
    <w:rsid w:val="00B17D68"/>
    <w:rsid w:val="00B61456"/>
    <w:rsid w:val="00B91C69"/>
    <w:rsid w:val="00BA1E6F"/>
    <w:rsid w:val="00C23CEE"/>
    <w:rsid w:val="00C31040"/>
    <w:rsid w:val="00CB0897"/>
    <w:rsid w:val="00CE0F63"/>
    <w:rsid w:val="00D0745B"/>
    <w:rsid w:val="00D24920"/>
    <w:rsid w:val="00DA63F1"/>
    <w:rsid w:val="00DD0B18"/>
    <w:rsid w:val="00E83B61"/>
    <w:rsid w:val="00E87504"/>
    <w:rsid w:val="00EB7898"/>
    <w:rsid w:val="00EC3FFF"/>
    <w:rsid w:val="00EC66CA"/>
    <w:rsid w:val="00ED0591"/>
    <w:rsid w:val="00EE522E"/>
    <w:rsid w:val="00F51D68"/>
    <w:rsid w:val="00F9789D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E24EB4"/>
  <w15:chartTrackingRefBased/>
  <w15:docId w15:val="{4A9D3934-5D61-4463-A1CC-9C6F50D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5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69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C66CA"/>
    <w:pPr>
      <w:outlineLvl w:val="0"/>
    </w:pPr>
    <w:rPr>
      <w:rFonts w:ascii="Times New Roman" w:hAnsi="Times New Roman"/>
      <w:b/>
      <w:i/>
      <w:sz w:val="52"/>
      <w:szCs w:val="36"/>
    </w:rPr>
  </w:style>
  <w:style w:type="paragraph" w:styleId="Heading2">
    <w:name w:val="heading 2"/>
    <w:basedOn w:val="Normal"/>
    <w:next w:val="Normal"/>
    <w:link w:val="Heading2Char"/>
    <w:qFormat/>
    <w:rsid w:val="00F51D68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qFormat/>
    <w:rsid w:val="00F51D68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5"/>
    <w:qFormat/>
    <w:rsid w:val="00EC66CA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semiHidden/>
    <w:qFormat/>
    <w:rsid w:val="00EC66CA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Normal">
    <w:name w:val="ICA_Normal"/>
    <w:link w:val="ICANormalChar"/>
    <w:rsid w:val="000C1B69"/>
    <w:rPr>
      <w:rFonts w:eastAsia="Times New Roman"/>
      <w:sz w:val="20"/>
      <w:szCs w:val="24"/>
      <w:lang w:eastAsia="en-GB"/>
    </w:rPr>
  </w:style>
  <w:style w:type="character" w:customStyle="1" w:styleId="ICANormalChar">
    <w:name w:val="ICA_Normal Char"/>
    <w:basedOn w:val="DefaultParagraphFont"/>
    <w:link w:val="ICANormal"/>
    <w:rsid w:val="000C1B69"/>
    <w:rPr>
      <w:rFonts w:eastAsia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0C1B69"/>
    <w:pPr>
      <w:pBdr>
        <w:top w:val="single" w:sz="4" w:space="6" w:color="44546A" w:themeColor="text2"/>
      </w:pBdr>
      <w:tabs>
        <w:tab w:val="right" w:pos="9639"/>
      </w:tabs>
      <w:spacing w:line="240" w:lineRule="auto"/>
      <w:ind w:right="-1"/>
    </w:pPr>
    <w:rPr>
      <w:rFonts w:cs="Arial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C1B69"/>
    <w:rPr>
      <w:rFonts w:eastAsia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0C1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69"/>
    <w:rPr>
      <w:rFonts w:eastAsia="Times New Roman" w:cs="Times New Roman"/>
      <w:lang w:eastAsia="en-GB"/>
    </w:rPr>
  </w:style>
  <w:style w:type="paragraph" w:customStyle="1" w:styleId="Bodycopy">
    <w:name w:val="Body copy"/>
    <w:basedOn w:val="Normal"/>
    <w:rsid w:val="00964037"/>
    <w:pPr>
      <w:suppressAutoHyphens/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F51D68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F51D68"/>
    <w:rPr>
      <w:rFonts w:eastAsia="Times New Roman" w:cs="Times New Roman"/>
      <w:b/>
      <w:lang w:eastAsia="en-GB"/>
    </w:rPr>
  </w:style>
  <w:style w:type="character" w:styleId="CommentReference">
    <w:name w:val="annotation reference"/>
    <w:basedOn w:val="DefaultParagraphFont"/>
    <w:semiHidden/>
    <w:unhideWhenUsed/>
    <w:rsid w:val="00F51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D68"/>
    <w:rPr>
      <w:rFonts w:eastAsia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F51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51D68"/>
    <w:pPr>
      <w:ind w:left="720"/>
      <w:contextualSpacing/>
    </w:pPr>
  </w:style>
  <w:style w:type="character" w:styleId="Hyperlink">
    <w:name w:val="Hyperlink"/>
    <w:basedOn w:val="DefaultParagraphFont"/>
    <w:qFormat/>
    <w:rsid w:val="00F51D68"/>
    <w:rPr>
      <w:rFonts w:ascii="Arial" w:hAnsi="Arial"/>
      <w:color w:val="E30613"/>
      <w:sz w:val="22"/>
      <w:u w:val="none" w:color="CC0000"/>
    </w:rPr>
  </w:style>
  <w:style w:type="paragraph" w:styleId="ListBullet">
    <w:name w:val="List Bullet"/>
    <w:basedOn w:val="Normal"/>
    <w:uiPriority w:val="6"/>
    <w:qFormat/>
    <w:rsid w:val="00EC66CA"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rsid w:val="00EC66CA"/>
  </w:style>
  <w:style w:type="character" w:customStyle="1" w:styleId="BodyTextChar">
    <w:name w:val="Body Text Char"/>
    <w:basedOn w:val="DefaultParagraphFont"/>
    <w:link w:val="BodyText"/>
    <w:rsid w:val="00EC66CA"/>
    <w:rPr>
      <w:rFonts w:eastAsia="Times New Roman" w:cs="Times New Roman"/>
      <w:lang w:eastAsia="en-GB"/>
    </w:rPr>
  </w:style>
  <w:style w:type="paragraph" w:styleId="ListBullet2">
    <w:name w:val="List Bullet 2"/>
    <w:basedOn w:val="Normal"/>
    <w:uiPriority w:val="7"/>
    <w:qFormat/>
    <w:rsid w:val="00EC66CA"/>
    <w:pPr>
      <w:numPr>
        <w:ilvl w:val="1"/>
        <w:numId w:val="4"/>
      </w:numPr>
      <w:contextualSpacing/>
    </w:pPr>
  </w:style>
  <w:style w:type="table" w:styleId="TableGrid">
    <w:name w:val="Table Grid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8"/>
    <w:qFormat/>
    <w:rsid w:val="00EC66CA"/>
    <w:pPr>
      <w:numPr>
        <w:ilvl w:val="2"/>
        <w:numId w:val="4"/>
      </w:numPr>
      <w:contextualSpacing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EC66CA"/>
    <w:rPr>
      <w:rFonts w:ascii="Times New Roman" w:eastAsia="Times New Roman" w:hAnsi="Times New Roman" w:cs="Times New Roman"/>
      <w:b/>
      <w:i/>
      <w:sz w:val="52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5"/>
    <w:rsid w:val="00EC66CA"/>
    <w:rPr>
      <w:rFonts w:eastAsia="Times New Roman" w:cs="Times New Roman"/>
      <w:b/>
      <w:color w:val="5E5E5E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C66CA"/>
    <w:rPr>
      <w:rFonts w:eastAsiaTheme="majorEastAsia" w:cstheme="majorBidi"/>
      <w:b/>
      <w:bCs/>
      <w:color w:val="5E5E5E"/>
      <w:sz w:val="20"/>
      <w:lang w:eastAsia="en-GB"/>
    </w:rPr>
  </w:style>
  <w:style w:type="numbering" w:customStyle="1" w:styleId="Bulletpoints">
    <w:name w:val="Bullet points"/>
    <w:rsid w:val="00EC66CA"/>
    <w:pPr>
      <w:numPr>
        <w:numId w:val="18"/>
      </w:numPr>
    </w:pPr>
  </w:style>
  <w:style w:type="paragraph" w:customStyle="1" w:styleId="Tableheadings">
    <w:name w:val="Table headings"/>
    <w:basedOn w:val="Normal"/>
    <w:uiPriority w:val="12"/>
    <w:qFormat/>
    <w:rsid w:val="00EC66CA"/>
    <w:rPr>
      <w:rFonts w:ascii="Arial Bold" w:hAnsi="Arial Bold" w:cs="Arial"/>
      <w:b/>
      <w:caps/>
      <w:color w:val="595959" w:themeColor="text1" w:themeTint="A6"/>
    </w:rPr>
  </w:style>
  <w:style w:type="character" w:styleId="PageNumber">
    <w:name w:val="page number"/>
    <w:basedOn w:val="DefaultParagraphFont"/>
    <w:rsid w:val="00EC66CA"/>
    <w:rPr>
      <w:rFonts w:ascii="Arial Bold" w:hAnsi="Arial Bold"/>
      <w:b/>
      <w:bCs/>
      <w:color w:val="595959" w:themeColor="text1" w:themeTint="A6"/>
      <w:sz w:val="16"/>
    </w:rPr>
  </w:style>
  <w:style w:type="paragraph" w:styleId="ListNumber">
    <w:name w:val="List Number"/>
    <w:basedOn w:val="Normal"/>
    <w:qFormat/>
    <w:rsid w:val="00EC66CA"/>
    <w:pPr>
      <w:numPr>
        <w:numId w:val="17"/>
      </w:numPr>
    </w:pPr>
  </w:style>
  <w:style w:type="table" w:customStyle="1" w:styleId="Table">
    <w:name w:val="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uiPriority w:val="10"/>
    <w:qFormat/>
    <w:rsid w:val="00EC66CA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11"/>
    <w:qFormat/>
    <w:rsid w:val="00EC66CA"/>
    <w:pPr>
      <w:numPr>
        <w:ilvl w:val="2"/>
        <w:numId w:val="1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EC66CA"/>
    <w:pPr>
      <w:keepNext/>
      <w:keepLines/>
      <w:outlineLvl w:val="9"/>
    </w:pPr>
    <w:rPr>
      <w:rFonts w:ascii="Arial Bold" w:eastAsiaTheme="majorEastAsia" w:hAnsi="Arial Bold" w:cstheme="majorBidi"/>
      <w:bCs/>
      <w:i w:val="0"/>
      <w:caps/>
      <w:color w:val="595959" w:themeColor="text1" w:themeTint="A6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EC66CA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EC66CA"/>
    <w:pPr>
      <w:tabs>
        <w:tab w:val="right" w:leader="dot" w:pos="9631"/>
      </w:tabs>
      <w:spacing w:after="100"/>
    </w:pPr>
  </w:style>
  <w:style w:type="table" w:customStyle="1" w:styleId="ICAEWtable">
    <w:name w:val="ICAEW 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EC66CA"/>
    <w:pPr>
      <w:spacing w:before="120" w:after="120"/>
    </w:pPr>
    <w:rPr>
      <w:b/>
      <w:bCs/>
      <w:sz w:val="20"/>
      <w:szCs w:val="24"/>
      <w:lang w:eastAsia="en-US"/>
    </w:rPr>
  </w:style>
  <w:style w:type="paragraph" w:customStyle="1" w:styleId="Appendix">
    <w:name w:val="Appendix"/>
    <w:basedOn w:val="Normal"/>
    <w:next w:val="BodyText"/>
    <w:uiPriority w:val="14"/>
    <w:qFormat/>
    <w:rsid w:val="00EC66CA"/>
    <w:pPr>
      <w:numPr>
        <w:numId w:val="29"/>
      </w:numPr>
      <w:outlineLvl w:val="0"/>
    </w:pPr>
    <w:rPr>
      <w:rFonts w:cs="Arial"/>
      <w:caps/>
      <w:color w:val="595959" w:themeColor="text1" w:themeTint="A6"/>
      <w:sz w:val="28"/>
    </w:rPr>
  </w:style>
  <w:style w:type="paragraph" w:styleId="Title">
    <w:name w:val="Title"/>
    <w:basedOn w:val="Heading1"/>
    <w:next w:val="Normal"/>
    <w:link w:val="TitleChar"/>
    <w:uiPriority w:val="13"/>
    <w:qFormat/>
    <w:rsid w:val="00EC66CA"/>
    <w:pPr>
      <w:spacing w:before="640" w:after="520"/>
      <w:ind w:right="1276"/>
      <w:contextualSpacing/>
      <w:outlineLvl w:val="9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EC66CA"/>
    <w:rPr>
      <w:rFonts w:ascii="Times New Roman" w:eastAsiaTheme="majorEastAsia" w:hAnsi="Times New Roman" w:cstheme="majorBidi"/>
      <w:b/>
      <w:i/>
      <w:spacing w:val="5"/>
      <w:kern w:val="28"/>
      <w:sz w:val="52"/>
      <w:szCs w:val="5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EC66CA"/>
    <w:pPr>
      <w:spacing w:after="100"/>
      <w:ind w:left="440"/>
    </w:pPr>
  </w:style>
  <w:style w:type="paragraph" w:customStyle="1" w:styleId="Notes">
    <w:name w:val="Notes"/>
    <w:basedOn w:val="Normal"/>
    <w:uiPriority w:val="15"/>
    <w:qFormat/>
    <w:rsid w:val="00EC66CA"/>
    <w:rPr>
      <w:i/>
      <w:sz w:val="16"/>
    </w:rPr>
  </w:style>
  <w:style w:type="table" w:styleId="Table3Deffects1">
    <w:name w:val="Table 3D effects 1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ICAEWShadedtable">
    <w:name w:val="ICAEW Shaded table"/>
    <w:basedOn w:val="TableNormal"/>
    <w:uiPriority w:val="99"/>
    <w:rsid w:val="00EC66CA"/>
    <w:rPr>
      <w:rFonts w:eastAsia="Times New Roman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C1C1C1"/>
    </w:tcPr>
  </w:style>
  <w:style w:type="table" w:customStyle="1" w:styleId="ICAEWtable1">
    <w:name w:val="ICAEW table1"/>
    <w:basedOn w:val="TableNormal"/>
    <w:uiPriority w:val="9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table" w:customStyle="1" w:styleId="TableGrid1">
    <w:name w:val="Table Grid1"/>
    <w:basedOn w:val="TableNormal"/>
    <w:next w:val="TableGrid"/>
    <w:uiPriority w:val="5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ference">
    <w:name w:val="Footer Reference"/>
    <w:autoRedefine/>
    <w:rsid w:val="00EC66CA"/>
    <w:rPr>
      <w:rFonts w:eastAsia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EC66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CA"/>
    <w:rPr>
      <w:rFonts w:eastAsia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C66CA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ew.com/t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ICAEW Technical Advisory Service</dc:creator>
  <cp:keywords/>
  <dc:description/>
  <cp:lastModifiedBy>Wendy Ansley</cp:lastModifiedBy>
  <cp:revision>2</cp:revision>
  <dcterms:created xsi:type="dcterms:W3CDTF">2025-02-11T14:14:00Z</dcterms:created>
  <dcterms:modified xsi:type="dcterms:W3CDTF">2025-02-11T14:14:00Z</dcterms:modified>
</cp:coreProperties>
</file>